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D" w:rsidRDefault="00456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реализации </w:t>
      </w:r>
    </w:p>
    <w:p w:rsidR="00E540BD" w:rsidRDefault="00456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Минераловодского городского округа Ставропольского края на период до 2023 года за 2021 год</w:t>
      </w:r>
    </w:p>
    <w:p w:rsidR="00E540BD" w:rsidRDefault="00E540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11 Порядка разработки и утверждения бюджетного прогноза Минераловодского городского округа Ставропольского края на долгосрочный период, утвержденного постановлением администрации Минераловодского городского округа Ставропольского края от 22 апреля 2020 года № 824, финансовым управлением администрации Минераловодского городского округа проведен мониторинг реализации бюджетного прогноза Минераловодского городского округа Ставропольского края на период до 2023 года за 2021 год на основе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Минераловодского городского округа.</w:t>
      </w:r>
    </w:p>
    <w:p w:rsidR="00E540BD" w:rsidRDefault="00E540B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E540BD" w:rsidRDefault="00456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степени достижения </w:t>
      </w:r>
      <w:r>
        <w:rPr>
          <w:rFonts w:ascii="Times New Roman" w:hAnsi="Times New Roman" w:cs="Times New Roman"/>
          <w:sz w:val="28"/>
          <w:szCs w:val="28"/>
        </w:rPr>
        <w:br/>
        <w:t>показателей бюджетного прогноза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до 2023 года в 2021 году</w:t>
      </w:r>
    </w:p>
    <w:p w:rsidR="00E540BD" w:rsidRDefault="0045672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5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3236"/>
        <w:gridCol w:w="1666"/>
        <w:gridCol w:w="1522"/>
        <w:gridCol w:w="1495"/>
        <w:gridCol w:w="1079"/>
      </w:tblGrid>
      <w:tr w:rsidR="00E540BD">
        <w:trPr>
          <w:trHeight w:val="654"/>
          <w:jc w:val="center"/>
        </w:trPr>
        <w:tc>
          <w:tcPr>
            <w:tcW w:w="751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прогноз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(в редакции от 12.02.2021)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исполнении бюджета за 2021 г.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079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9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40BD">
        <w:trPr>
          <w:jc w:val="center"/>
        </w:trPr>
        <w:tc>
          <w:tcPr>
            <w:tcW w:w="9749" w:type="dxa"/>
            <w:gridSpan w:val="6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бюджета Минераловодского городского округа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4093037,04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4494135,07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401098,03</w:t>
            </w:r>
          </w:p>
        </w:tc>
        <w:tc>
          <w:tcPr>
            <w:tcW w:w="1079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109,80</w:t>
            </w:r>
          </w:p>
        </w:tc>
      </w:tr>
      <w:tr w:rsidR="00E540BD">
        <w:trPr>
          <w:jc w:val="center"/>
        </w:trPr>
        <w:tc>
          <w:tcPr>
            <w:tcW w:w="751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BD">
        <w:trPr>
          <w:jc w:val="center"/>
        </w:trPr>
        <w:tc>
          <w:tcPr>
            <w:tcW w:w="751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всего: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857994,80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962756,26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104761,46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112,21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424572,00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458349,85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33777,85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107,95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54692,00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83028,73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28336,73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151,81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186370,00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207144,29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20774,29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111,15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137801,38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154747,43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16946,05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112,30</w:t>
            </w:r>
          </w:p>
        </w:tc>
      </w:tr>
      <w:tr w:rsidR="00E540BD">
        <w:trPr>
          <w:jc w:val="center"/>
        </w:trPr>
        <w:tc>
          <w:tcPr>
            <w:tcW w:w="751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3235042,24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3531378,81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296336,57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109,16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3862282,94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4588216,21</w:t>
            </w:r>
          </w:p>
        </w:tc>
        <w:tc>
          <w:tcPr>
            <w:tcW w:w="1495" w:type="dxa"/>
            <w:vAlign w:val="center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725933,27</w:t>
            </w:r>
          </w:p>
        </w:tc>
        <w:tc>
          <w:tcPr>
            <w:tcW w:w="1079" w:type="dxa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BD" w:rsidTr="00110E4F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335461,19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307014,26</w:t>
            </w:r>
          </w:p>
        </w:tc>
        <w:tc>
          <w:tcPr>
            <w:tcW w:w="1495" w:type="dxa"/>
            <w:vAlign w:val="center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-28446,93</w:t>
            </w:r>
          </w:p>
        </w:tc>
        <w:tc>
          <w:tcPr>
            <w:tcW w:w="1079" w:type="dxa"/>
            <w:vAlign w:val="center"/>
          </w:tcPr>
          <w:p w:rsidR="00E540BD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91,52</w:t>
            </w:r>
          </w:p>
        </w:tc>
      </w:tr>
      <w:tr w:rsidR="00E540BD" w:rsidTr="00110E4F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23122,94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22122,07</w:t>
            </w:r>
          </w:p>
        </w:tc>
        <w:tc>
          <w:tcPr>
            <w:tcW w:w="1495" w:type="dxa"/>
            <w:vAlign w:val="center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-1000,87</w:t>
            </w:r>
          </w:p>
        </w:tc>
        <w:tc>
          <w:tcPr>
            <w:tcW w:w="1079" w:type="dxa"/>
            <w:vAlign w:val="center"/>
          </w:tcPr>
          <w:p w:rsidR="00E540BD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95,67</w:t>
            </w:r>
          </w:p>
        </w:tc>
      </w:tr>
      <w:tr w:rsidR="00E540BD" w:rsidTr="00110E4F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80466,63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634510,97</w:t>
            </w:r>
          </w:p>
        </w:tc>
        <w:tc>
          <w:tcPr>
            <w:tcW w:w="1495" w:type="dxa"/>
            <w:vAlign w:val="center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554044,34</w:t>
            </w:r>
          </w:p>
        </w:tc>
        <w:tc>
          <w:tcPr>
            <w:tcW w:w="1079" w:type="dxa"/>
            <w:vAlign w:val="center"/>
          </w:tcPr>
          <w:p w:rsidR="00E540BD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</w:tr>
      <w:tr w:rsidR="00E540BD" w:rsidTr="00110E4F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190686,26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251316,77</w:t>
            </w:r>
          </w:p>
        </w:tc>
        <w:tc>
          <w:tcPr>
            <w:tcW w:w="1495" w:type="dxa"/>
            <w:vAlign w:val="center"/>
          </w:tcPr>
          <w:p w:rsidR="00E540BD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60630,51</w:t>
            </w:r>
          </w:p>
        </w:tc>
        <w:tc>
          <w:tcPr>
            <w:tcW w:w="1079" w:type="dxa"/>
            <w:vAlign w:val="center"/>
          </w:tcPr>
          <w:p w:rsidR="00E540BD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</w:tr>
      <w:tr w:rsidR="00456721" w:rsidTr="00110E4F">
        <w:trPr>
          <w:jc w:val="center"/>
        </w:trPr>
        <w:tc>
          <w:tcPr>
            <w:tcW w:w="751" w:type="dxa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36" w:type="dxa"/>
          </w:tcPr>
          <w:p w:rsidR="00456721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666" w:type="dxa"/>
            <w:vAlign w:val="center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2" w:type="dxa"/>
            <w:vAlign w:val="center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700,34</w:t>
            </w:r>
          </w:p>
        </w:tc>
        <w:tc>
          <w:tcPr>
            <w:tcW w:w="1495" w:type="dxa"/>
            <w:vAlign w:val="center"/>
          </w:tcPr>
          <w:p w:rsidR="00456721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700,34</w:t>
            </w:r>
          </w:p>
        </w:tc>
        <w:tc>
          <w:tcPr>
            <w:tcW w:w="1079" w:type="dxa"/>
            <w:vAlign w:val="center"/>
          </w:tcPr>
          <w:p w:rsidR="00110E4F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40BD" w:rsidTr="00110E4F">
        <w:trPr>
          <w:jc w:val="center"/>
        </w:trPr>
        <w:tc>
          <w:tcPr>
            <w:tcW w:w="751" w:type="dxa"/>
          </w:tcPr>
          <w:p w:rsidR="00E540BD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1960032,91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1784805,78</w:t>
            </w:r>
          </w:p>
        </w:tc>
        <w:tc>
          <w:tcPr>
            <w:tcW w:w="1495" w:type="dxa"/>
            <w:vAlign w:val="center"/>
          </w:tcPr>
          <w:p w:rsidR="00E540BD" w:rsidRDefault="00D46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0E4F">
              <w:rPr>
                <w:rFonts w:ascii="Times New Roman" w:hAnsi="Times New Roman" w:cs="Times New Roman"/>
                <w:sz w:val="28"/>
                <w:szCs w:val="28"/>
              </w:rPr>
              <w:t>175227,13</w:t>
            </w:r>
          </w:p>
        </w:tc>
        <w:tc>
          <w:tcPr>
            <w:tcW w:w="1079" w:type="dxa"/>
            <w:vAlign w:val="center"/>
          </w:tcPr>
          <w:p w:rsidR="00E540BD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91,06</w:t>
            </w:r>
          </w:p>
        </w:tc>
      </w:tr>
      <w:tr w:rsidR="00456721" w:rsidTr="00110E4F">
        <w:trPr>
          <w:jc w:val="center"/>
        </w:trPr>
        <w:tc>
          <w:tcPr>
            <w:tcW w:w="751" w:type="dxa"/>
          </w:tcPr>
          <w:p w:rsidR="00456721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36" w:type="dxa"/>
          </w:tcPr>
          <w:p w:rsidR="00456721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66" w:type="dxa"/>
            <w:vAlign w:val="center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147073,59</w:t>
            </w:r>
          </w:p>
        </w:tc>
        <w:tc>
          <w:tcPr>
            <w:tcW w:w="1522" w:type="dxa"/>
            <w:vAlign w:val="center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166189,75</w:t>
            </w:r>
          </w:p>
        </w:tc>
        <w:tc>
          <w:tcPr>
            <w:tcW w:w="1495" w:type="dxa"/>
            <w:vAlign w:val="center"/>
          </w:tcPr>
          <w:p w:rsidR="00456721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19116,16</w:t>
            </w:r>
          </w:p>
        </w:tc>
        <w:tc>
          <w:tcPr>
            <w:tcW w:w="1079" w:type="dxa"/>
            <w:vAlign w:val="center"/>
          </w:tcPr>
          <w:p w:rsidR="00456721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456721" w:rsidTr="00110E4F">
        <w:trPr>
          <w:jc w:val="center"/>
        </w:trPr>
        <w:tc>
          <w:tcPr>
            <w:tcW w:w="751" w:type="dxa"/>
            <w:vAlign w:val="center"/>
          </w:tcPr>
          <w:p w:rsidR="00456721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36" w:type="dxa"/>
          </w:tcPr>
          <w:p w:rsidR="00456721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66" w:type="dxa"/>
            <w:vAlign w:val="center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1096043,40</w:t>
            </w:r>
          </w:p>
        </w:tc>
        <w:tc>
          <w:tcPr>
            <w:tcW w:w="1522" w:type="dxa"/>
            <w:vAlign w:val="center"/>
          </w:tcPr>
          <w:p w:rsidR="00456721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1392472,12</w:t>
            </w:r>
          </w:p>
        </w:tc>
        <w:tc>
          <w:tcPr>
            <w:tcW w:w="1495" w:type="dxa"/>
            <w:vAlign w:val="center"/>
          </w:tcPr>
          <w:p w:rsidR="00456721" w:rsidRDefault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836428,72</w:t>
            </w:r>
          </w:p>
        </w:tc>
        <w:tc>
          <w:tcPr>
            <w:tcW w:w="1079" w:type="dxa"/>
            <w:vAlign w:val="center"/>
          </w:tcPr>
          <w:p w:rsidR="00456721" w:rsidRDefault="00110E4F" w:rsidP="00110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127,05</w:t>
            </w:r>
          </w:p>
        </w:tc>
      </w:tr>
      <w:tr w:rsidR="00456721" w:rsidTr="000E789E">
        <w:trPr>
          <w:jc w:val="center"/>
        </w:trPr>
        <w:tc>
          <w:tcPr>
            <w:tcW w:w="751" w:type="dxa"/>
            <w:vAlign w:val="center"/>
          </w:tcPr>
          <w:p w:rsidR="00456721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236" w:type="dxa"/>
          </w:tcPr>
          <w:p w:rsidR="00456721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66" w:type="dxa"/>
            <w:vAlign w:val="bottom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14162,59</w:t>
            </w:r>
          </w:p>
        </w:tc>
        <w:tc>
          <w:tcPr>
            <w:tcW w:w="1522" w:type="dxa"/>
            <w:vAlign w:val="bottom"/>
          </w:tcPr>
          <w:p w:rsidR="00456721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17339,28</w:t>
            </w:r>
          </w:p>
        </w:tc>
        <w:tc>
          <w:tcPr>
            <w:tcW w:w="1495" w:type="dxa"/>
            <w:vAlign w:val="bottom"/>
          </w:tcPr>
          <w:p w:rsidR="00456721" w:rsidRDefault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3176,69</w:t>
            </w:r>
          </w:p>
        </w:tc>
        <w:tc>
          <w:tcPr>
            <w:tcW w:w="1079" w:type="dxa"/>
            <w:vAlign w:val="center"/>
          </w:tcPr>
          <w:p w:rsidR="000E789E" w:rsidRDefault="000E789E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721" w:rsidRDefault="000E789E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122,43</w:t>
            </w:r>
          </w:p>
        </w:tc>
      </w:tr>
      <w:tr w:rsidR="00E540BD" w:rsidTr="000E789E">
        <w:trPr>
          <w:jc w:val="center"/>
        </w:trPr>
        <w:tc>
          <w:tcPr>
            <w:tcW w:w="751" w:type="dxa"/>
            <w:vAlign w:val="center"/>
          </w:tcPr>
          <w:p w:rsidR="00E540BD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66" w:type="dxa"/>
            <w:vAlign w:val="bottom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15233,43</w:t>
            </w:r>
          </w:p>
        </w:tc>
        <w:tc>
          <w:tcPr>
            <w:tcW w:w="1522" w:type="dxa"/>
            <w:vAlign w:val="bottom"/>
          </w:tcPr>
          <w:p w:rsidR="00E540BD" w:rsidRDefault="00456721" w:rsidP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11744,87</w:t>
            </w:r>
          </w:p>
        </w:tc>
        <w:tc>
          <w:tcPr>
            <w:tcW w:w="1495" w:type="dxa"/>
            <w:vAlign w:val="bottom"/>
          </w:tcPr>
          <w:p w:rsidR="00E540BD" w:rsidRDefault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-3488,56</w:t>
            </w:r>
          </w:p>
        </w:tc>
        <w:tc>
          <w:tcPr>
            <w:tcW w:w="1079" w:type="dxa"/>
            <w:vAlign w:val="center"/>
          </w:tcPr>
          <w:p w:rsidR="00E540BD" w:rsidRDefault="00E540BD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9E" w:rsidRDefault="000E789E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9E" w:rsidRDefault="000E789E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77,10</w:t>
            </w:r>
          </w:p>
        </w:tc>
      </w:tr>
      <w:tr w:rsidR="00E540BD" w:rsidRPr="000E789E" w:rsidTr="000E789E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89E">
              <w:rPr>
                <w:rFonts w:ascii="Times New Roman" w:hAnsi="Times New Roman" w:cs="Times New Roman"/>
                <w:sz w:val="28"/>
                <w:szCs w:val="28"/>
              </w:rPr>
              <w:t>230754,10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-94081,14</w:t>
            </w:r>
          </w:p>
        </w:tc>
        <w:tc>
          <w:tcPr>
            <w:tcW w:w="1495" w:type="dxa"/>
            <w:vAlign w:val="center"/>
          </w:tcPr>
          <w:p w:rsidR="00E540BD" w:rsidRPr="000E789E" w:rsidRDefault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E78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  <w:vAlign w:val="center"/>
          </w:tcPr>
          <w:p w:rsidR="000E789E" w:rsidRPr="000E789E" w:rsidRDefault="00223EA5" w:rsidP="000E78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23EA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540BD" w:rsidRPr="000E789E">
        <w:trPr>
          <w:jc w:val="center"/>
        </w:trPr>
        <w:tc>
          <w:tcPr>
            <w:tcW w:w="751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287688,87</w:t>
            </w:r>
          </w:p>
        </w:tc>
        <w:tc>
          <w:tcPr>
            <w:tcW w:w="1522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287688,87</w:t>
            </w:r>
          </w:p>
        </w:tc>
        <w:tc>
          <w:tcPr>
            <w:tcW w:w="1495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79" w:type="dxa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540BD">
        <w:trPr>
          <w:jc w:val="center"/>
        </w:trPr>
        <w:tc>
          <w:tcPr>
            <w:tcW w:w="9749" w:type="dxa"/>
            <w:gridSpan w:val="6"/>
          </w:tcPr>
          <w:p w:rsidR="00E540BD" w:rsidRDefault="004567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финансового обеспечения муниципальных программ Минераловодского городского округа на период их действия</w:t>
            </w:r>
          </w:p>
        </w:tc>
      </w:tr>
      <w:tr w:rsidR="00E540BD">
        <w:trPr>
          <w:jc w:val="center"/>
        </w:trPr>
        <w:tc>
          <w:tcPr>
            <w:tcW w:w="751" w:type="dxa"/>
          </w:tcPr>
          <w:p w:rsidR="00E540BD" w:rsidRDefault="00E540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540BD" w:rsidRDefault="00456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рамках муниципальных программ Минераловодского городского округа, всего</w:t>
            </w:r>
          </w:p>
        </w:tc>
        <w:tc>
          <w:tcPr>
            <w:tcW w:w="1666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4190674,09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4494491,61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303817,52</w:t>
            </w:r>
          </w:p>
        </w:tc>
        <w:tc>
          <w:tcPr>
            <w:tcW w:w="1079" w:type="dxa"/>
            <w:vAlign w:val="center"/>
          </w:tcPr>
          <w:p w:rsidR="00E540BD" w:rsidRDefault="00456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107,25</w:t>
            </w:r>
          </w:p>
        </w:tc>
      </w:tr>
    </w:tbl>
    <w:p w:rsidR="00E540BD" w:rsidRDefault="00E540BD">
      <w:pPr>
        <w:tabs>
          <w:tab w:val="left" w:pos="709"/>
        </w:tabs>
        <w:jc w:val="both"/>
        <w:rPr>
          <w:sz w:val="28"/>
          <w:szCs w:val="28"/>
        </w:rPr>
      </w:pP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финансовой отчетности за 2021 год общий объем поступивших в  бюджет Минераловодского городского округа доходов составляет 4494135,07 тыс. рублей, что выше на 9,8% или на 401098,03 тыс. рублей  показателей бюджетного прогноза по доходам местного бюджета на 2021 год.</w:t>
      </w: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 доходов бюджета Минераловодского городского округа  в сравнении с прогнозными показателями обусловлен:</w:t>
      </w: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Ростом поступлений налоговых и неналоговых доходов в местный бюджет на 104761,46 тыс. рублей или 12,21% к прогнозным показателям в результате </w:t>
      </w:r>
      <w:r>
        <w:rPr>
          <w:rFonts w:ascii="Times New Roman" w:hAnsi="Times New Roman"/>
          <w:spacing w:val="-4"/>
          <w:sz w:val="28"/>
          <w:szCs w:val="28"/>
        </w:rPr>
        <w:t>роста налогооблагаемой базы по налогу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, а также установления норматива отчислений в местный бюджет по налогу с доходов, относящихся к части налоговой базы, превышающей 5 миллионов рублей</w:t>
      </w:r>
      <w:r>
        <w:rPr>
          <w:rFonts w:ascii="Times New Roman" w:hAnsi="Times New Roman"/>
          <w:spacing w:val="-4"/>
          <w:sz w:val="28"/>
          <w:szCs w:val="28"/>
        </w:rPr>
        <w:t>;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количества субъектов малого предпринимательства, перешедших на патентную систему налогообложения;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количества объектов налогообложения по налогу на имущество физических лиц, включенных в перечень, определяемый в соответствии с пунктом 7 статьи 378.2 Налогового кодекса РФ и облагаемых по ставке 2%; дополнительных мер, направленных на повышение поступления налоговых и неналоговых доходов в соответствии с утвержденной Программой оздоровления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Минераловодского городского округа на 2018-2021 годы.</w:t>
      </w: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Увеличением объема безвозмездных поступлений от других бюджетов бюджетной системы на 296336,57 тыс. рублей или 9,16% к прогнозным показателям, в том числе субсидий на осуществление дорожной деятельности, субвенций на  выполнение передаваемых полномочий субъектов РФ, на осуществление ежемесячной денежной выплаты, назначаемой в случае рождения третьего ребенка, на осуществление ежемесячных выплат на детей в возрасте от трех до семи лет. </w:t>
      </w:r>
      <w:proofErr w:type="gramEnd"/>
    </w:p>
    <w:p w:rsidR="00E540BD" w:rsidRPr="000E789E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9E">
        <w:rPr>
          <w:rFonts w:ascii="Times New Roman" w:hAnsi="Times New Roman" w:cs="Times New Roman"/>
          <w:sz w:val="28"/>
          <w:szCs w:val="28"/>
        </w:rPr>
        <w:t>Расходы бюджета Минераловодского городского округа в 202</w:t>
      </w:r>
      <w:r w:rsidR="000E789E" w:rsidRPr="000E789E">
        <w:rPr>
          <w:rFonts w:ascii="Times New Roman" w:hAnsi="Times New Roman" w:cs="Times New Roman"/>
          <w:sz w:val="28"/>
          <w:szCs w:val="28"/>
        </w:rPr>
        <w:t>1</w:t>
      </w:r>
      <w:r w:rsidRPr="000E789E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0E789E" w:rsidRPr="000E789E">
        <w:rPr>
          <w:rFonts w:ascii="Times New Roman" w:hAnsi="Times New Roman" w:cs="Times New Roman"/>
          <w:sz w:val="28"/>
          <w:szCs w:val="28"/>
        </w:rPr>
        <w:t>4588216,21</w:t>
      </w:r>
      <w:r w:rsidRPr="000E789E">
        <w:rPr>
          <w:rFonts w:ascii="Times New Roman" w:hAnsi="Times New Roman" w:cs="Times New Roman"/>
          <w:sz w:val="28"/>
          <w:szCs w:val="28"/>
        </w:rPr>
        <w:t xml:space="preserve"> тыс. рублей, с ростом на </w:t>
      </w:r>
      <w:r w:rsidR="000E789E" w:rsidRPr="000E789E">
        <w:rPr>
          <w:rFonts w:ascii="Times New Roman" w:hAnsi="Times New Roman" w:cs="Times New Roman"/>
          <w:sz w:val="28"/>
          <w:szCs w:val="28"/>
        </w:rPr>
        <w:t>725933,27</w:t>
      </w:r>
      <w:r w:rsidRPr="000E789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E789E" w:rsidRPr="000E789E">
        <w:rPr>
          <w:rFonts w:ascii="Times New Roman" w:hAnsi="Times New Roman" w:cs="Times New Roman"/>
          <w:sz w:val="28"/>
          <w:szCs w:val="28"/>
        </w:rPr>
        <w:t>18,8</w:t>
      </w:r>
      <w:r w:rsidRPr="000E789E">
        <w:rPr>
          <w:rFonts w:ascii="Times New Roman" w:hAnsi="Times New Roman" w:cs="Times New Roman"/>
          <w:sz w:val="28"/>
          <w:szCs w:val="28"/>
        </w:rPr>
        <w:t xml:space="preserve"> % к прогнозным плановым показателям местного бюджета. </w:t>
      </w:r>
    </w:p>
    <w:p w:rsidR="00E540BD" w:rsidRPr="000E789E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9E">
        <w:rPr>
          <w:rFonts w:ascii="Times New Roman" w:hAnsi="Times New Roman" w:cs="Times New Roman"/>
          <w:sz w:val="28"/>
          <w:szCs w:val="28"/>
        </w:rPr>
        <w:t xml:space="preserve">Рост расходов местного бюджета в рамках муниципальных программ Минераловодского городского округа в сравнении с прогнозными показателями обусловлен ростом доходов, а также </w:t>
      </w:r>
      <w:r w:rsidR="00223EA5">
        <w:rPr>
          <w:rFonts w:ascii="Times New Roman" w:hAnsi="Times New Roman" w:cs="Times New Roman"/>
          <w:sz w:val="28"/>
          <w:szCs w:val="28"/>
        </w:rPr>
        <w:t xml:space="preserve">осуществлением   расходов за счет </w:t>
      </w:r>
      <w:bookmarkStart w:id="0" w:name="_GoBack"/>
      <w:bookmarkEnd w:id="0"/>
      <w:r w:rsidRPr="000E789E">
        <w:rPr>
          <w:rFonts w:ascii="Times New Roman" w:hAnsi="Times New Roman" w:cs="Times New Roman"/>
          <w:sz w:val="28"/>
          <w:szCs w:val="28"/>
        </w:rPr>
        <w:t>остатков средств бюджет</w:t>
      </w:r>
      <w:r w:rsidR="00223EA5">
        <w:rPr>
          <w:rFonts w:ascii="Times New Roman" w:hAnsi="Times New Roman" w:cs="Times New Roman"/>
          <w:sz w:val="28"/>
          <w:szCs w:val="28"/>
        </w:rPr>
        <w:t>а</w:t>
      </w:r>
      <w:r w:rsidRPr="000E789E">
        <w:rPr>
          <w:rFonts w:ascii="Times New Roman" w:hAnsi="Times New Roman" w:cs="Times New Roman"/>
          <w:sz w:val="28"/>
          <w:szCs w:val="28"/>
        </w:rPr>
        <w:t>, сложившихся на счет</w:t>
      </w:r>
      <w:r w:rsidR="00223EA5">
        <w:rPr>
          <w:rFonts w:ascii="Times New Roman" w:hAnsi="Times New Roman" w:cs="Times New Roman"/>
          <w:sz w:val="28"/>
          <w:szCs w:val="28"/>
        </w:rPr>
        <w:t>е</w:t>
      </w:r>
      <w:r w:rsidRPr="000E789E">
        <w:rPr>
          <w:rFonts w:ascii="Times New Roman" w:hAnsi="Times New Roman" w:cs="Times New Roman"/>
          <w:sz w:val="28"/>
          <w:szCs w:val="28"/>
        </w:rPr>
        <w:t xml:space="preserve"> </w:t>
      </w:r>
      <w:r w:rsidR="00223E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E789E">
        <w:rPr>
          <w:rFonts w:ascii="Times New Roman" w:hAnsi="Times New Roman" w:cs="Times New Roman"/>
          <w:sz w:val="28"/>
          <w:szCs w:val="28"/>
        </w:rPr>
        <w:t>бюджет</w:t>
      </w:r>
      <w:r w:rsidR="00223EA5">
        <w:rPr>
          <w:rFonts w:ascii="Times New Roman" w:hAnsi="Times New Roman" w:cs="Times New Roman"/>
          <w:sz w:val="28"/>
          <w:szCs w:val="28"/>
        </w:rPr>
        <w:t>а</w:t>
      </w:r>
      <w:r w:rsidRPr="000E789E">
        <w:rPr>
          <w:rFonts w:ascii="Times New Roman" w:hAnsi="Times New Roman" w:cs="Times New Roman"/>
          <w:sz w:val="28"/>
          <w:szCs w:val="28"/>
        </w:rPr>
        <w:t xml:space="preserve"> на начало 202</w:t>
      </w:r>
      <w:r w:rsidR="000E789E" w:rsidRPr="000E789E">
        <w:rPr>
          <w:rFonts w:ascii="Times New Roman" w:hAnsi="Times New Roman" w:cs="Times New Roman"/>
          <w:sz w:val="28"/>
          <w:szCs w:val="28"/>
        </w:rPr>
        <w:t>1</w:t>
      </w:r>
      <w:r w:rsidRPr="000E789E">
        <w:rPr>
          <w:rFonts w:ascii="Times New Roman" w:hAnsi="Times New Roman" w:cs="Times New Roman"/>
          <w:sz w:val="28"/>
          <w:szCs w:val="28"/>
        </w:rPr>
        <w:t> года</w:t>
      </w:r>
      <w:r w:rsidR="00223EA5">
        <w:rPr>
          <w:rFonts w:ascii="Times New Roman" w:hAnsi="Times New Roman" w:cs="Times New Roman"/>
          <w:sz w:val="28"/>
          <w:szCs w:val="28"/>
        </w:rPr>
        <w:t>,</w:t>
      </w:r>
      <w:r w:rsidRPr="000E789E">
        <w:rPr>
          <w:rFonts w:ascii="Times New Roman" w:hAnsi="Times New Roman" w:cs="Times New Roman"/>
          <w:sz w:val="28"/>
          <w:szCs w:val="28"/>
        </w:rPr>
        <w:t xml:space="preserve"> и муниципальных заимствований. </w:t>
      </w: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9E">
        <w:rPr>
          <w:rFonts w:ascii="Times New Roman" w:hAnsi="Times New Roman" w:cs="Times New Roman"/>
          <w:sz w:val="28"/>
          <w:szCs w:val="28"/>
        </w:rPr>
        <w:t>По итогам 202</w:t>
      </w:r>
      <w:r w:rsidR="000E789E" w:rsidRPr="000E789E">
        <w:rPr>
          <w:rFonts w:ascii="Times New Roman" w:hAnsi="Times New Roman" w:cs="Times New Roman"/>
          <w:sz w:val="28"/>
          <w:szCs w:val="28"/>
        </w:rPr>
        <w:t>1</w:t>
      </w:r>
      <w:r w:rsidRPr="000E789E">
        <w:rPr>
          <w:rFonts w:ascii="Times New Roman" w:hAnsi="Times New Roman" w:cs="Times New Roman"/>
          <w:sz w:val="28"/>
          <w:szCs w:val="28"/>
        </w:rPr>
        <w:t xml:space="preserve"> года дефицит местного бюджета сложился в сумме </w:t>
      </w:r>
      <w:r w:rsidR="000E789E" w:rsidRPr="000E789E">
        <w:rPr>
          <w:rFonts w:ascii="Times New Roman" w:hAnsi="Times New Roman" w:cs="Times New Roman"/>
          <w:sz w:val="28"/>
          <w:szCs w:val="28"/>
        </w:rPr>
        <w:t>94081,14</w:t>
      </w:r>
      <w:r w:rsidRPr="000E789E">
        <w:rPr>
          <w:rFonts w:ascii="Times New Roman" w:hAnsi="Times New Roman" w:cs="Times New Roman"/>
          <w:sz w:val="28"/>
          <w:szCs w:val="28"/>
        </w:rPr>
        <w:t>тыс. рублей. Источниками покрытия дефицита местного бюджета являются остатки средств местного бюджета сложившиеся на начало года и муниципальные заимствования.</w:t>
      </w:r>
    </w:p>
    <w:p w:rsidR="00E540BD" w:rsidRDefault="004567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реализации бюджетного прогноза Минераловодского городского округа на период до 2023 года за 2021 год подлежит размещению на официальном сайте Минераловодского городского округа Ставропольского края в информационно-телекоммуникационной сети «Интернет» в срок не позднее 30 апреля 2022 года.</w:t>
      </w:r>
    </w:p>
    <w:p w:rsidR="00E540BD" w:rsidRDefault="00E5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BD" w:rsidRDefault="00E5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BD" w:rsidRDefault="00E54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BD" w:rsidRDefault="00456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заместителя главы администрации-</w:t>
      </w:r>
    </w:p>
    <w:p w:rsidR="00E540BD" w:rsidRDefault="00456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                                          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Дуденкова</w:t>
      </w:r>
      <w:proofErr w:type="spellEnd"/>
    </w:p>
    <w:p w:rsidR="00E540BD" w:rsidRDefault="00E540BD"/>
    <w:sectPr w:rsidR="00E540BD">
      <w:headerReference w:type="default" r:id="rId7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4F" w:rsidRDefault="00110E4F">
      <w:r>
        <w:separator/>
      </w:r>
    </w:p>
  </w:endnote>
  <w:endnote w:type="continuationSeparator" w:id="0">
    <w:p w:rsidR="00110E4F" w:rsidRDefault="0011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4F" w:rsidRDefault="00110E4F">
      <w:r>
        <w:separator/>
      </w:r>
    </w:p>
  </w:footnote>
  <w:footnote w:type="continuationSeparator" w:id="0">
    <w:p w:rsidR="00110E4F" w:rsidRDefault="0011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0E4F" w:rsidRDefault="00110E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E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D"/>
    <w:rsid w:val="000E789E"/>
    <w:rsid w:val="00110E4F"/>
    <w:rsid w:val="00223EA5"/>
    <w:rsid w:val="00456721"/>
    <w:rsid w:val="00D46F8E"/>
    <w:rsid w:val="00E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Dohod1</cp:lastModifiedBy>
  <cp:revision>51</cp:revision>
  <cp:lastPrinted>2022-05-30T08:14:00Z</cp:lastPrinted>
  <dcterms:created xsi:type="dcterms:W3CDTF">2020-02-14T09:03:00Z</dcterms:created>
  <dcterms:modified xsi:type="dcterms:W3CDTF">2022-05-31T07:54:00Z</dcterms:modified>
</cp:coreProperties>
</file>