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>округа «</w:t>
      </w:r>
      <w:r w:rsidR="003256F3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03.12.2018  № 2890 </w:t>
      </w:r>
      <w:r w:rsidRPr="00725FD8">
        <w:rPr>
          <w:sz w:val="28"/>
          <w:szCs w:val="28"/>
        </w:rPr>
        <w:t xml:space="preserve"> </w:t>
      </w:r>
    </w:p>
    <w:p w:rsidR="00AC32B9" w:rsidRPr="00630104" w:rsidRDefault="00AC32B9" w:rsidP="00AC32B9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630104">
        <w:rPr>
          <w:color w:val="FF0000"/>
          <w:szCs w:val="28"/>
        </w:rPr>
        <w:tab/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r w:rsidRPr="00B9778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 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</w:t>
      </w:r>
      <w:r w:rsidR="005A17F3">
        <w:rPr>
          <w:sz w:val="28"/>
          <w:szCs w:val="28"/>
        </w:rPr>
        <w:t xml:space="preserve"> решения Совета депутатов Минераловодского городского округа от 14.12.2018 № 616 «О бюджете Минераловодского городского округа Ставропольского края на 2019 год и плановый период 2020 и 2021 годов»</w:t>
      </w:r>
      <w:r>
        <w:rPr>
          <w:bCs/>
          <w:sz w:val="28"/>
          <w:szCs w:val="28"/>
        </w:rPr>
        <w:t>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5A17F3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A6873"/>
    <w:rsid w:val="001939C4"/>
    <w:rsid w:val="001B29C9"/>
    <w:rsid w:val="001F5316"/>
    <w:rsid w:val="003256F3"/>
    <w:rsid w:val="00416527"/>
    <w:rsid w:val="004A6199"/>
    <w:rsid w:val="005A17F3"/>
    <w:rsid w:val="005F5ACB"/>
    <w:rsid w:val="00655EAB"/>
    <w:rsid w:val="006D56C3"/>
    <w:rsid w:val="00715407"/>
    <w:rsid w:val="00765E17"/>
    <w:rsid w:val="00854875"/>
    <w:rsid w:val="008B3AF7"/>
    <w:rsid w:val="008D697A"/>
    <w:rsid w:val="00904BC0"/>
    <w:rsid w:val="00A715C0"/>
    <w:rsid w:val="00AC32B9"/>
    <w:rsid w:val="00AE4749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2018-09-20T13:44:00Z</cp:lastPrinted>
  <dcterms:created xsi:type="dcterms:W3CDTF">2019-01-21T15:31:00Z</dcterms:created>
  <dcterms:modified xsi:type="dcterms:W3CDTF">2019-01-21T15:32:00Z</dcterms:modified>
</cp:coreProperties>
</file>