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C4" w:rsidRDefault="00BC3F52">
      <w:pPr>
        <w:autoSpaceDE w:val="0"/>
        <w:autoSpaceDN w:val="0"/>
        <w:adjustRightInd w:val="0"/>
        <w:spacing w:before="280"/>
        <w:ind w:firstLine="540"/>
        <w:rPr>
          <w:sz w:val="18"/>
          <w:szCs w:val="28"/>
        </w:rPr>
      </w:pPr>
      <w:bookmarkStart w:id="0" w:name="_GoBack"/>
      <w:r>
        <w:rPr>
          <w:sz w:val="18"/>
          <w:szCs w:val="28"/>
        </w:rPr>
        <w:t>Перечень налого</w:t>
      </w:r>
      <w:r>
        <w:rPr>
          <w:sz w:val="18"/>
          <w:szCs w:val="28"/>
        </w:rPr>
        <w:t xml:space="preserve">в, а также даты представления уведомления </w:t>
      </w:r>
      <w:bookmarkEnd w:id="0"/>
      <w:r>
        <w:rPr>
          <w:sz w:val="18"/>
          <w:szCs w:val="28"/>
        </w:rPr>
        <w:t>приведены в таблице:</w:t>
      </w:r>
    </w:p>
    <w:p w:rsidR="004D06C4" w:rsidRDefault="004D06C4">
      <w:pPr>
        <w:autoSpaceDE w:val="0"/>
        <w:autoSpaceDN w:val="0"/>
        <w:adjustRightInd w:val="0"/>
        <w:ind w:firstLine="0"/>
        <w:outlineLvl w:val="0"/>
        <w:rPr>
          <w:sz w:val="18"/>
          <w:szCs w:val="28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984"/>
        <w:gridCol w:w="1214"/>
        <w:gridCol w:w="1276"/>
        <w:gridCol w:w="1418"/>
        <w:gridCol w:w="1559"/>
        <w:gridCol w:w="1276"/>
        <w:gridCol w:w="1276"/>
        <w:gridCol w:w="1134"/>
        <w:gridCol w:w="1134"/>
        <w:gridCol w:w="2125"/>
      </w:tblGrid>
      <w:tr w:rsidR="004D06C4">
        <w:trPr>
          <w:cantSplit/>
          <w:trHeight w:val="750"/>
        </w:trPr>
        <w:tc>
          <w:tcPr>
            <w:tcW w:w="1622" w:type="dxa"/>
            <w:vMerge w:val="restart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налога</w:t>
            </w:r>
          </w:p>
        </w:tc>
        <w:tc>
          <w:tcPr>
            <w:tcW w:w="1984" w:type="dxa"/>
            <w:vMerge w:val="restart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Категория плательщика</w:t>
            </w:r>
          </w:p>
        </w:tc>
        <w:tc>
          <w:tcPr>
            <w:tcW w:w="2490" w:type="dxa"/>
            <w:gridSpan w:val="2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представления декларации/расчета по налогам и страховым взносам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Срок представления уведомления </w:t>
            </w:r>
          </w:p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по налогам и страховым взносам</w:t>
            </w:r>
          </w:p>
        </w:tc>
        <w:tc>
          <w:tcPr>
            <w:tcW w:w="2552" w:type="dxa"/>
            <w:gridSpan w:val="2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Период, </w:t>
            </w:r>
            <w:r>
              <w:rPr>
                <w:b/>
                <w:sz w:val="16"/>
                <w:szCs w:val="16"/>
              </w:rPr>
              <w:t>указываемый в уведомлении (код отчетного периода)</w:t>
            </w:r>
          </w:p>
        </w:tc>
        <w:tc>
          <w:tcPr>
            <w:tcW w:w="2268" w:type="dxa"/>
            <w:gridSpan w:val="2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уплаты налогов, страховых взносов в соответствии с законодательством</w:t>
            </w:r>
          </w:p>
        </w:tc>
        <w:tc>
          <w:tcPr>
            <w:tcW w:w="2125" w:type="dxa"/>
            <w:vMerge w:val="restart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Исключение (случаи, когда уведомления не предоставляются)</w:t>
            </w:r>
          </w:p>
        </w:tc>
      </w:tr>
      <w:tr w:rsidR="004D06C4">
        <w:trPr>
          <w:cantSplit/>
          <w:trHeight w:val="919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налоговый/отчетный период</w:t>
            </w:r>
          </w:p>
        </w:tc>
        <w:tc>
          <w:tcPr>
            <w:tcW w:w="1276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представления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срок </w:t>
            </w:r>
            <w:r>
              <w:rPr>
                <w:b/>
                <w:sz w:val="16"/>
                <w:szCs w:val="16"/>
              </w:rPr>
              <w:t>представления</w:t>
            </w:r>
          </w:p>
        </w:tc>
        <w:tc>
          <w:tcPr>
            <w:tcW w:w="1276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1276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отчетного (налогового) периода / номер месяца (квартала)</w:t>
            </w:r>
          </w:p>
        </w:tc>
        <w:tc>
          <w:tcPr>
            <w:tcW w:w="1134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отчетный период</w:t>
            </w:r>
          </w:p>
        </w:tc>
        <w:tc>
          <w:tcPr>
            <w:tcW w:w="1134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уплаты налога, страховых взносов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4D06C4">
        <w:trPr>
          <w:cantSplit/>
          <w:trHeight w:val="70"/>
        </w:trPr>
        <w:tc>
          <w:tcPr>
            <w:tcW w:w="1622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4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125" w:type="dxa"/>
            <w:vAlign w:val="center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4D06C4"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с доходов, полученных организацией, исчисляемый по ставкам, отличным от </w:t>
            </w:r>
            <w:r>
              <w:rPr>
                <w:sz w:val="16"/>
                <w:szCs w:val="16"/>
              </w:rPr>
              <w:t>ставки, указанной в п. 1 ст. 284 НК РФ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Плательщики (налоговые агенты), представляющие декларации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</w:t>
            </w:r>
            <w:r>
              <w:rPr>
                <w:sz w:val="16"/>
                <w:szCs w:val="16"/>
              </w:rPr>
              <w:t>ртал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март в апреле 25.04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853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июнь в июле 25.07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позднее 25.06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283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сентябрь в октябре 25.10 уведомление по налогу не представляется, так как сроки предоставления </w:t>
            </w:r>
            <w:r>
              <w:rPr>
                <w:sz w:val="16"/>
                <w:szCs w:val="16"/>
              </w:rPr>
              <w:t>декларации и уведомления совпадают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173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Налог с доходов, полученных иностранной </w:t>
            </w:r>
            <w:r>
              <w:rPr>
                <w:sz w:val="16"/>
                <w:szCs w:val="16"/>
              </w:rPr>
              <w:t>организацией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агенты, представляющие налоговые расчеты не позднее 25 календарных дней со дня окончания соответствующего отчетного периода (плательщики, которые представляют декларацию по налогу ежеквартально)</w:t>
            </w: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позднее </w:t>
            </w:r>
            <w:r>
              <w:rPr>
                <w:sz w:val="16"/>
                <w:szCs w:val="16"/>
              </w:rPr>
              <w:t>25.02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март в апреле 25.04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агентов по </w:t>
            </w:r>
            <w:hyperlink r:id="rId6" w:history="1">
              <w:r>
                <w:rPr>
                  <w:color w:val="0000FF"/>
                  <w:sz w:val="16"/>
                  <w:szCs w:val="16"/>
                </w:rPr>
                <w:t>ст. 310.1</w:t>
              </w:r>
            </w:hyperlink>
            <w:r>
              <w:rPr>
                <w:sz w:val="16"/>
                <w:szCs w:val="16"/>
              </w:rPr>
              <w:t xml:space="preserve"> НК РФ на 30 дней с даты исчисления</w:t>
            </w:r>
          </w:p>
        </w:tc>
        <w:tc>
          <w:tcPr>
            <w:tcW w:w="2125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случае, если в налоговом расчете отражается доход, в отношении которого налог в рублях будет исчислен и уплачен после представления налогового расчета, представляется уведомление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июнь </w:t>
            </w:r>
            <w:r>
              <w:rPr>
                <w:sz w:val="16"/>
                <w:szCs w:val="16"/>
              </w:rPr>
              <w:t>в июле 25.07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агентов по </w:t>
            </w:r>
            <w:hyperlink r:id="rId7" w:history="1">
              <w:r>
                <w:rPr>
                  <w:color w:val="0000FF"/>
                  <w:sz w:val="16"/>
                  <w:szCs w:val="16"/>
                </w:rPr>
                <w:t>ст. 310.1</w:t>
              </w:r>
            </w:hyperlink>
            <w:r>
              <w:rPr>
                <w:sz w:val="16"/>
                <w:szCs w:val="16"/>
              </w:rPr>
              <w:t xml:space="preserve"> НК РФ на 30 дней с даты исчисления</w:t>
            </w:r>
          </w:p>
        </w:tc>
        <w:tc>
          <w:tcPr>
            <w:tcW w:w="2125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случае, если в налоговом расчете отражается доход, в</w:t>
            </w:r>
            <w:r>
              <w:rPr>
                <w:sz w:val="16"/>
                <w:szCs w:val="16"/>
              </w:rPr>
              <w:t xml:space="preserve"> отношении которого налог в рублях будет исчислен и уплачен после представления налогового расчета, представляется уведомление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сентябрь в октябре 25.10 уведомление по налогу не </w:t>
            </w:r>
            <w:r>
              <w:rPr>
                <w:sz w:val="16"/>
                <w:szCs w:val="16"/>
              </w:rPr>
              <w:t>представляется, так как сроки представления декларации и уведомления совпадают.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1030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агентов по </w:t>
            </w:r>
            <w:r>
              <w:rPr>
                <w:color w:val="0000FF"/>
                <w:sz w:val="16"/>
                <w:szCs w:val="16"/>
              </w:rPr>
              <w:t>ст. 310.1</w:t>
            </w:r>
            <w:r>
              <w:rPr>
                <w:sz w:val="16"/>
                <w:szCs w:val="16"/>
              </w:rPr>
              <w:t xml:space="preserve"> НК РФ на 30 дней с даты исчисления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случае, если в налоговом расчете отражается доход, в отношении которого налог в рублях будет исчислен и уплачен после представления налогового расчета, представляется уведомление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25.03 года, следующего за </w:t>
            </w:r>
            <w:r>
              <w:rPr>
                <w:sz w:val="16"/>
                <w:szCs w:val="16"/>
              </w:rPr>
              <w:t>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740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для агентов по </w:t>
            </w:r>
            <w:r>
              <w:rPr>
                <w:color w:val="0000FF"/>
                <w:sz w:val="14"/>
                <w:szCs w:val="14"/>
              </w:rPr>
              <w:t>ст. 310.1</w:t>
            </w:r>
            <w:r>
              <w:rPr>
                <w:sz w:val="14"/>
                <w:szCs w:val="14"/>
              </w:rPr>
              <w:t xml:space="preserve"> НК РФ на 30 дней с даты </w:t>
            </w:r>
            <w:r>
              <w:rPr>
                <w:sz w:val="14"/>
                <w:szCs w:val="14"/>
              </w:rPr>
              <w:t>исчисления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711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28.03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115"/>
        </w:trPr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с доходов, полученных организацией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Плательщики (налоговые агенты), представляющие декларации не позднее 25 календарных дней со дня окончания соответствующего отчетного </w:t>
            </w:r>
            <w:r>
              <w:rPr>
                <w:sz w:val="16"/>
                <w:szCs w:val="16"/>
              </w:rPr>
              <w:t>периода (плательщики, которые представляют декларацию по налогу ежеквартально)</w:t>
            </w: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</w:t>
            </w:r>
          </w:p>
        </w:tc>
        <w:tc>
          <w:tcPr>
            <w:tcW w:w="2125" w:type="dxa"/>
            <w:vMerge w:val="restart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D06C4">
        <w:trPr>
          <w:trHeight w:val="136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25.04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25.07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позднее </w:t>
            </w:r>
            <w:r>
              <w:rPr>
                <w:sz w:val="16"/>
                <w:szCs w:val="16"/>
              </w:rPr>
              <w:t>25.09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25.10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НДФЛ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агенты</w:t>
            </w: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01.01 - 22.01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01.01 - 22.01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01.01 - 22.01</w:t>
            </w:r>
          </w:p>
        </w:tc>
        <w:tc>
          <w:tcPr>
            <w:tcW w:w="113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уплачивается налог не позднее 28-го числа текущего месяца</w:t>
            </w:r>
          </w:p>
        </w:tc>
        <w:tc>
          <w:tcPr>
            <w:tcW w:w="2125" w:type="dxa"/>
            <w:vMerge w:val="restart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23.01 - 22.02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позднее 25.02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23.01 - 22.02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23.01 - 22.02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23.02 - 22.03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23.02 - 22.03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23.02 - 22.03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23.03 - 22.04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25.04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23.03 - 22.04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23.03 - 22.04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23.04 - 22.05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23.04 - </w:t>
            </w:r>
            <w:r>
              <w:rPr>
                <w:sz w:val="16"/>
                <w:szCs w:val="16"/>
              </w:rPr>
              <w:t>22.05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23.04 - 22.05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20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23.05 - 22.06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23.05 - 22.06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23.05 - 22.06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23.06 - 22.07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25.07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23.06 - 22.07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23.06 - 22.07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68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23.07 - 22.08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23.07 - 22.08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23.07 - 22.08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23.08 - 22.09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23.08 - 22.09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23.08 - 22.09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23.09 - 22.10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25.10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23.09 - 22.10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23.09 - 22.10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23.10 - 22.11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23.10 - 22.11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23.10 - 22.11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23.11 - 22.12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23.11 - 22.12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23.11 - 22.12</w:t>
            </w:r>
          </w:p>
        </w:tc>
        <w:tc>
          <w:tcPr>
            <w:tcW w:w="113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23.12 - 31.12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последнего рабочего дня года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23.12 - 31.12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23.12 - 31.12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уплачивается налог не позднее последнего рабочего дня календарного </w:t>
            </w: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Страховые взносы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март в апреле 25.04 уведомление по налогу не представляется, так как сроки представления </w:t>
            </w:r>
            <w:r>
              <w:rPr>
                <w:sz w:val="16"/>
                <w:szCs w:val="16"/>
              </w:rPr>
              <w:t>расчета и уведомления совпадают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25.03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25.05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июнь в июле 25.07 уведомление по </w:t>
            </w:r>
            <w:r>
              <w:rPr>
                <w:sz w:val="16"/>
                <w:szCs w:val="16"/>
              </w:rPr>
              <w:t>налогу не представляется, так как сроки представления декларации и уведомления совпадают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25.06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25.08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сентябрь в октябре 25.10 уведомление по налогу не представляется, так как сроки представления декларации и уведомления совпадают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25.09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25.11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декабрь в январе 25.01 уведомление по налогу не представляется, так как сроки представления расчета и уведомления совпадают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позднее 25.12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 (не представляется)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1216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 года, следующего за истекшим налоговым периодом</w:t>
            </w:r>
          </w:p>
        </w:tc>
        <w:tc>
          <w:tcPr>
            <w:tcW w:w="2125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Налог на имущество организаций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1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представляется, когда законодательный (представительный) орган субъекта Российской Федерации в соответствии с </w:t>
            </w:r>
            <w:hyperlink r:id="rId8" w:history="1">
              <w:r>
                <w:rPr>
                  <w:color w:val="0000FF"/>
                  <w:sz w:val="16"/>
                  <w:szCs w:val="16"/>
                </w:rPr>
                <w:t>пунктом 6 статьи 382</w:t>
              </w:r>
            </w:hyperlink>
            <w:r>
              <w:rPr>
                <w:sz w:val="16"/>
                <w:szCs w:val="16"/>
              </w:rPr>
              <w:t xml:space="preserve">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</w:t>
            </w:r>
            <w:r>
              <w:rPr>
                <w:sz w:val="16"/>
                <w:szCs w:val="16"/>
              </w:rPr>
              <w:t>вого периода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 (2 квартал)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 (3 квартал)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1017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25.03 года, </w:t>
            </w:r>
            <w:r>
              <w:rPr>
                <w:sz w:val="16"/>
                <w:szCs w:val="16"/>
              </w:rPr>
              <w:t>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14" w:type="dxa"/>
            <w:vMerge w:val="restart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представляется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представляется, когда законодательный (представительный) орган субъекта Российской Федерации в соответствии с </w:t>
            </w:r>
            <w:hyperlink r:id="rId9" w:history="1">
              <w:r>
                <w:rPr>
                  <w:color w:val="0000FF"/>
                  <w:sz w:val="16"/>
                  <w:szCs w:val="16"/>
                </w:rPr>
                <w:t>пунктом 6 статьи 362</w:t>
              </w:r>
            </w:hyperlink>
            <w:r>
              <w:rPr>
                <w:sz w:val="16"/>
                <w:szCs w:val="16"/>
              </w:rPr>
              <w:t xml:space="preserve"> Налогового кодекса Российской Федерации предусмотрел для отдельных категорий налогоплательщиков право не исчислять и не уплачивать авансовые платежи по налогу в течение налогового периода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 года, следующего за истекшим налоговым периодом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14" w:type="dxa"/>
            <w:vMerge w:val="restart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представляется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представляются когда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</w:t>
            </w:r>
            <w:r>
              <w:rPr>
                <w:sz w:val="16"/>
                <w:szCs w:val="16"/>
              </w:rPr>
              <w:t xml:space="preserve">ритории "Сириус") в соответствии с </w:t>
            </w:r>
            <w:hyperlink r:id="rId10" w:history="1">
              <w:r>
                <w:rPr>
                  <w:color w:val="0000FF"/>
                  <w:sz w:val="16"/>
                  <w:szCs w:val="16"/>
                </w:rPr>
                <w:t>пунктом 2 статьи 397</w:t>
              </w:r>
            </w:hyperlink>
            <w:r>
              <w:rPr>
                <w:sz w:val="16"/>
                <w:szCs w:val="16"/>
              </w:rPr>
              <w:t xml:space="preserve"> Налогового кодекса Российской Федерации</w:t>
            </w:r>
            <w:r>
              <w:rPr>
                <w:sz w:val="16"/>
                <w:szCs w:val="16"/>
              </w:rPr>
              <w:t xml:space="preserve"> предусмотрено, что налогоплательщики-организации в течение налогового периода не уплачивают авансовые платежи по налогу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квартал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25.02 года, </w:t>
            </w:r>
            <w:r>
              <w:rPr>
                <w:sz w:val="16"/>
                <w:szCs w:val="16"/>
              </w:rPr>
              <w:t>следующего за истекшим налоговым периодом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34/04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УСН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лица/индивидуальные  предприниматели</w:t>
            </w: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25.03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25.04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34/01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</w:tc>
        <w:tc>
          <w:tcPr>
            <w:tcW w:w="2125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представления уведомления</w:t>
            </w:r>
            <w:r>
              <w:rPr>
                <w:sz w:val="16"/>
                <w:szCs w:val="16"/>
              </w:rPr>
              <w:t xml:space="preserve"> за 4 квартал (год) совпадает со сроком представления годовой декларации. В этой связи уведомление по сроку 25.03 (25.04) не представляется</w:t>
            </w: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25.04 года, следующего за истекшим налоговым периодом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месяцев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1276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34/03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ЮЛ: 28.03 года, следующего за истекшим налоговым периодом.</w:t>
            </w:r>
          </w:p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ФЛ: 28.04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06C4">
        <w:trPr>
          <w:trHeight w:val="205"/>
        </w:trPr>
        <w:tc>
          <w:tcPr>
            <w:tcW w:w="1622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ЕСХН</w:t>
            </w:r>
          </w:p>
        </w:tc>
        <w:tc>
          <w:tcPr>
            <w:tcW w:w="198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лица/индивидуальные  предприниматели</w:t>
            </w:r>
          </w:p>
        </w:tc>
        <w:tc>
          <w:tcPr>
            <w:tcW w:w="1214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25.03 года, </w:t>
            </w:r>
            <w:r>
              <w:rPr>
                <w:sz w:val="16"/>
                <w:szCs w:val="16"/>
              </w:rPr>
              <w:t>следующего за истекшим налоговым периодом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C2D69B" w:themeFill="accent3" w:themeFillTint="99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25.07</w:t>
            </w: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34/02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</w:t>
            </w:r>
          </w:p>
        </w:tc>
        <w:tc>
          <w:tcPr>
            <w:tcW w:w="2125" w:type="dxa"/>
            <w:vMerge w:val="restart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D06C4">
        <w:trPr>
          <w:trHeight w:val="483"/>
        </w:trPr>
        <w:tc>
          <w:tcPr>
            <w:tcW w:w="1622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2D69B" w:themeFill="accent3" w:themeFillTint="99"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D06C4" w:rsidRDefault="00BC3F52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 года, следующего за истекшим налоговым периодом</w:t>
            </w:r>
          </w:p>
        </w:tc>
        <w:tc>
          <w:tcPr>
            <w:tcW w:w="2125" w:type="dxa"/>
            <w:vMerge/>
          </w:tcPr>
          <w:p w:rsidR="004D06C4" w:rsidRDefault="004D06C4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4D06C4" w:rsidRDefault="004D06C4">
      <w:pPr>
        <w:rPr>
          <w:sz w:val="18"/>
        </w:rPr>
      </w:pPr>
    </w:p>
    <w:sectPr w:rsidR="004D06C4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2C"/>
    <w:multiLevelType w:val="hybridMultilevel"/>
    <w:tmpl w:val="D0364B6C"/>
    <w:lvl w:ilvl="0" w:tplc="8CC6F91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C4"/>
    <w:rsid w:val="004D06C4"/>
    <w:rsid w:val="00B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0A738-5C02-415C-AB3D-D7166720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67785C053AEDCE45B227FD237580C535BD3E8BF2FC077453DA46EFB0D113C3C631A32F1270B15BE4FA4FAA31BA2D9E0BD01FBCDg5w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467785C053AEDCE45B227FD237580C535BD3E8BF2FC077453DA46EFB0D113C3C631A39F622004ABB5AB5A2AC11B4C6E3A11DF9CF51gFw6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467785C053AEDCE45B227FD237580C535BD3E8BF2FC077453DA46EFB0D113C3C631A39F622004ABB5AB5A2AC11B4C6E3A11DF9CF51gFw6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67785C053AEDCE45B227FD237580C535BD3E8BF2FC077453DA46EFB0D113C3C631A32F7240647E45FA0B3F41EBED0FCA201E5CD53F6gCw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67785C053AEDCE45B227FD237580C535BD3E8BF2FC077453DA46EFB0D113C3C631A32F422074ABB5AB5A2AC11B4C6E3A11DF9CF51gF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D32D-D1A6-41DB-8AC0-4472CF5A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ait_otdel@mail.ru</cp:lastModifiedBy>
  <cp:revision>2</cp:revision>
  <dcterms:created xsi:type="dcterms:W3CDTF">2023-01-16T11:20:00Z</dcterms:created>
  <dcterms:modified xsi:type="dcterms:W3CDTF">2023-01-16T11:20:00Z</dcterms:modified>
</cp:coreProperties>
</file>