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Pr="005B0527">
        <w:rPr>
          <w:color w:val="000000"/>
        </w:rPr>
        <w:t>/</w:t>
      </w:r>
      <w:r>
        <w:rPr>
          <w:color w:val="000000"/>
        </w:rPr>
        <w:t xml:space="preserve"> 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округа.</w:t>
      </w: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proofErr w:type="gramStart"/>
      <w:r>
        <w:t>В случае непринятия проекта постановления могут возникнуть следующие риски: невозможность получения субсидии в рамках реализации 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ситуаций, что негативно отразится на развитии и модернизации коммунальной инфраструктуры округа, а также для совершенствования эстетического</w:t>
      </w:r>
      <w:r w:rsidR="00A75B0F">
        <w:t xml:space="preserve"> </w:t>
      </w:r>
      <w:bookmarkStart w:id="0" w:name="_GoBack"/>
      <w:bookmarkEnd w:id="0"/>
      <w:r>
        <w:t xml:space="preserve"> вида округа.</w:t>
      </w:r>
      <w:proofErr w:type="gramEnd"/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99" w:rsidRDefault="007C4499" w:rsidP="00A75B0F">
      <w:pPr>
        <w:spacing w:after="0" w:line="240" w:lineRule="auto"/>
      </w:pPr>
      <w:r>
        <w:separator/>
      </w:r>
    </w:p>
  </w:endnote>
  <w:endnote w:type="continuationSeparator" w:id="0">
    <w:p w:rsidR="007C4499" w:rsidRDefault="007C4499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99" w:rsidRDefault="007C4499" w:rsidP="00A75B0F">
      <w:pPr>
        <w:spacing w:after="0" w:line="240" w:lineRule="auto"/>
      </w:pPr>
      <w:r>
        <w:separator/>
      </w:r>
    </w:p>
  </w:footnote>
  <w:footnote w:type="continuationSeparator" w:id="0">
    <w:p w:rsidR="007C4499" w:rsidRDefault="007C4499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24936"/>
    <w:rsid w:val="00530CE7"/>
    <w:rsid w:val="00595D73"/>
    <w:rsid w:val="005B052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854875"/>
    <w:rsid w:val="008D697A"/>
    <w:rsid w:val="00904BC0"/>
    <w:rsid w:val="00940DB3"/>
    <w:rsid w:val="009C6B0D"/>
    <w:rsid w:val="009D2722"/>
    <w:rsid w:val="00A715C0"/>
    <w:rsid w:val="00A72A30"/>
    <w:rsid w:val="00A75B0F"/>
    <w:rsid w:val="00A8728A"/>
    <w:rsid w:val="00AD0F84"/>
    <w:rsid w:val="00AE4749"/>
    <w:rsid w:val="00AF578D"/>
    <w:rsid w:val="00B31E5D"/>
    <w:rsid w:val="00BB34BF"/>
    <w:rsid w:val="00BF6E0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cp:lastPrinted>2016-02-25T11:40:00Z</cp:lastPrinted>
  <dcterms:created xsi:type="dcterms:W3CDTF">2017-01-27T07:34:00Z</dcterms:created>
  <dcterms:modified xsi:type="dcterms:W3CDTF">2022-02-17T11:40:00Z</dcterms:modified>
</cp:coreProperties>
</file>